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2CC" w:rsidRDefault="007E05AB" w:rsidP="007E05AB">
      <w:pPr>
        <w:jc w:val="center"/>
        <w:rPr>
          <w:rFonts w:ascii="Times New Roman" w:hAnsi="Times New Roman" w:cs="Times New Roman"/>
          <w:sz w:val="28"/>
          <w:szCs w:val="28"/>
          <w:u w:val="single"/>
        </w:rPr>
      </w:pPr>
      <w:r w:rsidRPr="007E05AB">
        <w:rPr>
          <w:rFonts w:ascii="Times New Roman" w:hAnsi="Times New Roman" w:cs="Times New Roman"/>
          <w:sz w:val="28"/>
          <w:szCs w:val="28"/>
          <w:u w:val="single"/>
        </w:rPr>
        <w:t>Using the Sway Presentation</w:t>
      </w:r>
    </w:p>
    <w:p w:rsidR="007E05AB" w:rsidRDefault="007E05AB" w:rsidP="007E05AB">
      <w:pPr>
        <w:rPr>
          <w:rFonts w:ascii="Times New Roman" w:hAnsi="Times New Roman" w:cs="Times New Roman"/>
          <w:sz w:val="28"/>
          <w:szCs w:val="28"/>
          <w:u w:val="single"/>
        </w:rPr>
      </w:pPr>
      <w:r>
        <w:rPr>
          <w:rFonts w:ascii="Times New Roman" w:hAnsi="Times New Roman" w:cs="Times New Roman"/>
          <w:sz w:val="28"/>
          <w:szCs w:val="28"/>
          <w:u w:val="single"/>
        </w:rPr>
        <w:t>Why use Sway?</w:t>
      </w:r>
    </w:p>
    <w:p w:rsidR="007E05AB" w:rsidRDefault="007E05AB" w:rsidP="007E05AB">
      <w:pPr>
        <w:rPr>
          <w:rFonts w:ascii="Times New Roman" w:hAnsi="Times New Roman" w:cs="Times New Roman"/>
          <w:sz w:val="24"/>
          <w:szCs w:val="24"/>
        </w:rPr>
      </w:pPr>
      <w:r>
        <w:rPr>
          <w:rFonts w:ascii="Times New Roman" w:hAnsi="Times New Roman" w:cs="Times New Roman"/>
          <w:sz w:val="24"/>
          <w:szCs w:val="24"/>
        </w:rPr>
        <w:t>This presentation was designed in Sway to provide maximum flexibility to instructors.  By using Sway, students have the ability to access the presentation and all reading and media files at their desk through a laptop, tablet, or cell phone. This allows instructors to teach activities and research in a combination of ways:</w:t>
      </w:r>
    </w:p>
    <w:p w:rsidR="007E05AB" w:rsidRDefault="007E05AB" w:rsidP="007E05A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Student groups of 3 with each student researching a different aspect of the Chernobyl disaster within the group (</w:t>
      </w:r>
      <w:r w:rsidRPr="007E05AB">
        <w:rPr>
          <w:rFonts w:ascii="Times New Roman" w:hAnsi="Times New Roman" w:cs="Times New Roman"/>
          <w:i/>
          <w:sz w:val="24"/>
          <w:szCs w:val="24"/>
        </w:rPr>
        <w:t>The Evacuation, The Impact on Health, The Propaganda</w:t>
      </w:r>
      <w:r>
        <w:rPr>
          <w:rFonts w:ascii="Times New Roman" w:hAnsi="Times New Roman" w:cs="Times New Roman"/>
          <w:sz w:val="24"/>
          <w:szCs w:val="24"/>
        </w:rPr>
        <w:t>)</w:t>
      </w:r>
    </w:p>
    <w:p w:rsidR="007E05AB" w:rsidRDefault="007E05AB" w:rsidP="007E05A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 pairs with pairs being assigned a different aspect of the Chernobyl disaster </w:t>
      </w:r>
      <w:r>
        <w:rPr>
          <w:rFonts w:ascii="Times New Roman" w:hAnsi="Times New Roman" w:cs="Times New Roman"/>
          <w:sz w:val="24"/>
          <w:szCs w:val="24"/>
        </w:rPr>
        <w:t>(</w:t>
      </w:r>
      <w:r w:rsidRPr="007E05AB">
        <w:rPr>
          <w:rFonts w:ascii="Times New Roman" w:hAnsi="Times New Roman" w:cs="Times New Roman"/>
          <w:i/>
          <w:sz w:val="24"/>
          <w:szCs w:val="24"/>
        </w:rPr>
        <w:t>The Evacuation, The Impact on Health, The Propaganda</w:t>
      </w:r>
      <w:r>
        <w:rPr>
          <w:rFonts w:ascii="Times New Roman" w:hAnsi="Times New Roman" w:cs="Times New Roman"/>
          <w:sz w:val="24"/>
          <w:szCs w:val="24"/>
        </w:rPr>
        <w:t>)</w:t>
      </w:r>
    </w:p>
    <w:p w:rsidR="007E05AB" w:rsidRDefault="007E05AB" w:rsidP="007E05A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Student individual research with students addressing all aspects of the Chernobyl disaster</w:t>
      </w:r>
    </w:p>
    <w:p w:rsidR="007E05AB" w:rsidRDefault="007E05AB" w:rsidP="007E05A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Student class research with the class addressing all aspects of the Chernobyl disaster</w:t>
      </w:r>
    </w:p>
    <w:p w:rsidR="007E05AB" w:rsidRDefault="007E05AB" w:rsidP="007E05AB">
      <w:pPr>
        <w:rPr>
          <w:rFonts w:ascii="Times New Roman" w:hAnsi="Times New Roman" w:cs="Times New Roman"/>
          <w:sz w:val="28"/>
          <w:szCs w:val="28"/>
          <w:u w:val="single"/>
        </w:rPr>
      </w:pPr>
      <w:r w:rsidRPr="007E05AB">
        <w:rPr>
          <w:rFonts w:ascii="Times New Roman" w:hAnsi="Times New Roman" w:cs="Times New Roman"/>
          <w:sz w:val="28"/>
          <w:szCs w:val="28"/>
          <w:u w:val="single"/>
        </w:rPr>
        <w:t>How to use Sway?</w:t>
      </w:r>
    </w:p>
    <w:p w:rsidR="007E05AB" w:rsidRDefault="007E05AB" w:rsidP="007E05AB">
      <w:pPr>
        <w:rPr>
          <w:rFonts w:ascii="Times New Roman" w:hAnsi="Times New Roman" w:cs="Times New Roman"/>
          <w:sz w:val="24"/>
          <w:szCs w:val="24"/>
        </w:rPr>
      </w:pPr>
      <w:r>
        <w:rPr>
          <w:rFonts w:ascii="Times New Roman" w:hAnsi="Times New Roman" w:cs="Times New Roman"/>
          <w:sz w:val="28"/>
          <w:szCs w:val="28"/>
        </w:rPr>
        <w:t xml:space="preserve">Step 1: </w:t>
      </w:r>
      <w:r>
        <w:rPr>
          <w:rFonts w:ascii="Times New Roman" w:hAnsi="Times New Roman" w:cs="Times New Roman"/>
          <w:sz w:val="24"/>
          <w:szCs w:val="24"/>
        </w:rPr>
        <w:t xml:space="preserve">Open the Sway presentation by going to </w:t>
      </w:r>
      <w:hyperlink r:id="rId7" w:history="1">
        <w:r w:rsidRPr="00D0762E">
          <w:rPr>
            <w:rStyle w:val="Hyperlink"/>
            <w:rFonts w:ascii="Times New Roman" w:hAnsi="Times New Roman" w:cs="Times New Roman"/>
            <w:sz w:val="24"/>
            <w:szCs w:val="24"/>
          </w:rPr>
          <w:t>https://sway.office.com/IHe6EGUiZIis6UsW</w:t>
        </w:r>
      </w:hyperlink>
    </w:p>
    <w:p w:rsidR="007E05AB" w:rsidRDefault="007E05AB" w:rsidP="007E05AB">
      <w:pPr>
        <w:jc w:val="center"/>
        <w:rPr>
          <w:rFonts w:ascii="Times New Roman" w:hAnsi="Times New Roman" w:cs="Times New Roman"/>
          <w:sz w:val="24"/>
          <w:szCs w:val="24"/>
        </w:rPr>
      </w:pPr>
      <w:r>
        <w:rPr>
          <w:rFonts w:ascii="Times New Roman" w:hAnsi="Times New Roman" w:cs="Times New Roman"/>
          <w:sz w:val="24"/>
          <w:szCs w:val="24"/>
        </w:rPr>
        <w:t>OR</w:t>
      </w:r>
    </w:p>
    <w:p w:rsidR="007E05AB" w:rsidRDefault="007E05AB" w:rsidP="007E05AB">
      <w:pPr>
        <w:jc w:val="center"/>
        <w:rPr>
          <w:rFonts w:ascii="Times New Roman" w:hAnsi="Times New Roman" w:cs="Times New Roman"/>
          <w:sz w:val="24"/>
          <w:szCs w:val="24"/>
        </w:rPr>
      </w:pPr>
      <w:r>
        <w:rPr>
          <w:rFonts w:ascii="Times New Roman" w:hAnsi="Times New Roman" w:cs="Times New Roman"/>
          <w:sz w:val="24"/>
          <w:szCs w:val="24"/>
        </w:rPr>
        <w:t>Insert the below visual link into your school’s Student Management System for students or an email.</w:t>
      </w:r>
    </w:p>
    <w:tbl>
      <w:tblPr>
        <w:tblW w:w="9000" w:type="dxa"/>
        <w:jc w:val="center"/>
        <w:tblBorders>
          <w:top w:val="single" w:sz="6" w:space="0" w:color="D2D2D2"/>
          <w:left w:val="single" w:sz="6" w:space="0" w:color="D2D2D2"/>
          <w:bottom w:val="single" w:sz="6" w:space="0" w:color="D2D2D2"/>
          <w:right w:val="single" w:sz="6" w:space="0" w:color="D2D2D2"/>
        </w:tblBorders>
        <w:tblCellMar>
          <w:left w:w="0" w:type="dxa"/>
          <w:right w:w="0" w:type="dxa"/>
        </w:tblCellMar>
        <w:tblLook w:val="04A0" w:firstRow="1" w:lastRow="0" w:firstColumn="1" w:lastColumn="0" w:noHBand="0" w:noVBand="1"/>
      </w:tblPr>
      <w:tblGrid>
        <w:gridCol w:w="9015"/>
      </w:tblGrid>
      <w:tr w:rsidR="007E05AB" w:rsidTr="007E05AB">
        <w:trPr>
          <w:jc w:val="center"/>
        </w:trPr>
        <w:tc>
          <w:tcPr>
            <w:tcW w:w="0" w:type="auto"/>
            <w:vAlign w:val="center"/>
            <w:hideMark/>
          </w:tcPr>
          <w:p w:rsidR="007E05AB" w:rsidRDefault="007E05AB">
            <w:pPr>
              <w:spacing w:before="100" w:beforeAutospacing="1" w:after="100" w:afterAutospacing="1"/>
              <w:jc w:val="center"/>
            </w:pPr>
            <w:r>
              <w:rPr>
                <w:noProof/>
                <w:color w:val="0000FF"/>
              </w:rPr>
              <w:drawing>
                <wp:inline distT="0" distB="0" distL="0" distR="0">
                  <wp:extent cx="5715000" cy="1714500"/>
                  <wp:effectExtent l="0" t="0" r="0" b="0"/>
                  <wp:docPr id="1" name="Picture 1" descr="https://eus-www.sway-cdn.com/sway/v1.0/IHe6EGUiZIis6UsW/thumbnailImage?imageId=A9gKbYDq0BWv1S&amp;width=600&amp;height=180&amp;isPreview=fals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s-www.sway-cdn.com/sway/v1.0/IHe6EGUiZIis6UsW/thumbnailImage?imageId=A9gKbYDq0BWv1S&amp;width=600&amp;height=180&amp;isPreview=fals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714500"/>
                          </a:xfrm>
                          <a:prstGeom prst="rect">
                            <a:avLst/>
                          </a:prstGeom>
                          <a:noFill/>
                          <a:ln>
                            <a:noFill/>
                          </a:ln>
                        </pic:spPr>
                      </pic:pic>
                    </a:graphicData>
                  </a:graphic>
                </wp:inline>
              </w:drawing>
            </w:r>
          </w:p>
        </w:tc>
      </w:tr>
      <w:tr w:rsidR="007E05AB" w:rsidTr="007E05AB">
        <w:trPr>
          <w:jc w:val="center"/>
        </w:trPr>
        <w:tc>
          <w:tcPr>
            <w:tcW w:w="0" w:type="auto"/>
            <w:tcMar>
              <w:top w:w="195" w:type="dxa"/>
              <w:left w:w="300" w:type="dxa"/>
              <w:bottom w:w="0" w:type="dxa"/>
              <w:right w:w="300" w:type="dxa"/>
            </w:tcMar>
            <w:hideMark/>
          </w:tcPr>
          <w:p w:rsidR="007E05AB" w:rsidRDefault="007E05AB">
            <w:pPr>
              <w:spacing w:before="100" w:beforeAutospacing="1" w:after="100" w:afterAutospacing="1"/>
              <w:jc w:val="center"/>
            </w:pPr>
            <w:hyperlink r:id="rId10" w:tgtFrame="_blank" w:history="1">
              <w:r>
                <w:rPr>
                  <w:rStyle w:val="visuallinktitle"/>
                  <w:rFonts w:ascii="Segoe UI Semilight" w:hAnsi="Segoe UI Semilight" w:cs="Segoe UI Semilight"/>
                  <w:color w:val="424242"/>
                  <w:sz w:val="32"/>
                  <w:szCs w:val="32"/>
                </w:rPr>
                <w:t>Return of the Real: Truth, History, &amp; Chernobyl</w:t>
              </w:r>
            </w:hyperlink>
          </w:p>
        </w:tc>
      </w:tr>
      <w:tr w:rsidR="007E05AB" w:rsidTr="007E05AB">
        <w:trPr>
          <w:jc w:val="center"/>
        </w:trPr>
        <w:tc>
          <w:tcPr>
            <w:tcW w:w="0" w:type="auto"/>
            <w:tcMar>
              <w:top w:w="195" w:type="dxa"/>
              <w:left w:w="300" w:type="dxa"/>
              <w:bottom w:w="0" w:type="dxa"/>
              <w:right w:w="300" w:type="dxa"/>
            </w:tcMar>
            <w:hideMark/>
          </w:tcPr>
          <w:p w:rsidR="007E05AB" w:rsidRDefault="007E05AB">
            <w:pPr>
              <w:spacing w:before="100" w:beforeAutospacing="1" w:after="100" w:afterAutospacing="1"/>
            </w:pPr>
            <w:r>
              <w:rPr>
                <w:rStyle w:val="visuallinkdescription"/>
                <w:rFonts w:ascii="Segoe UI" w:hAnsi="Segoe UI" w:cs="Segoe UI"/>
                <w:color w:val="424242"/>
                <w:sz w:val="20"/>
                <w:szCs w:val="20"/>
              </w:rPr>
              <w:t>How do historians and archaeologists determine what is real? In this lesson plan, students will examine the complexity of truths, realities, and perspectives of the Chernobyl nuclear disast…</w:t>
            </w:r>
          </w:p>
        </w:tc>
      </w:tr>
      <w:tr w:rsidR="007E05AB" w:rsidTr="007E05AB">
        <w:trPr>
          <w:jc w:val="center"/>
        </w:trPr>
        <w:tc>
          <w:tcPr>
            <w:tcW w:w="0" w:type="auto"/>
            <w:tcMar>
              <w:top w:w="300" w:type="dxa"/>
              <w:left w:w="300" w:type="dxa"/>
              <w:bottom w:w="30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2159"/>
            </w:tblGrid>
            <w:tr w:rsidR="007E05AB">
              <w:trPr>
                <w:jc w:val="center"/>
              </w:trPr>
              <w:tc>
                <w:tcPr>
                  <w:tcW w:w="0" w:type="auto"/>
                  <w:shd w:val="clear" w:color="auto" w:fill="008272"/>
                  <w:tcMar>
                    <w:top w:w="45" w:type="dxa"/>
                    <w:left w:w="300" w:type="dxa"/>
                    <w:bottom w:w="45" w:type="dxa"/>
                    <w:right w:w="300" w:type="dxa"/>
                  </w:tcMar>
                  <w:vAlign w:val="center"/>
                  <w:hideMark/>
                </w:tcPr>
                <w:p w:rsidR="007E05AB" w:rsidRDefault="007E05AB">
                  <w:pPr>
                    <w:spacing w:before="100" w:beforeAutospacing="1" w:after="100" w:afterAutospacing="1"/>
                    <w:jc w:val="center"/>
                  </w:pPr>
                  <w:hyperlink r:id="rId11" w:tgtFrame="_blank" w:history="1">
                    <w:r>
                      <w:rPr>
                        <w:rStyle w:val="Hyperlink"/>
                        <w:rFonts w:ascii="Segoe UI Semilight" w:hAnsi="Segoe UI Semilight" w:cs="Segoe UI Semilight"/>
                        <w:color w:val="FFFFFF"/>
                        <w:sz w:val="23"/>
                        <w:szCs w:val="23"/>
                        <w:bdr w:val="single" w:sz="6" w:space="0" w:color="008272" w:frame="1"/>
                        <w:shd w:val="clear" w:color="auto" w:fill="008272"/>
                      </w:rPr>
                      <w:t>Go to this Sway</w:t>
                    </w:r>
                  </w:hyperlink>
                </w:p>
              </w:tc>
            </w:tr>
          </w:tbl>
          <w:p w:rsidR="007E05AB" w:rsidRDefault="007E05AB">
            <w:pPr>
              <w:spacing w:before="100" w:beforeAutospacing="1" w:after="100" w:afterAutospacing="1"/>
              <w:jc w:val="center"/>
            </w:pPr>
          </w:p>
        </w:tc>
      </w:tr>
    </w:tbl>
    <w:p w:rsidR="007E05AB" w:rsidRDefault="007E05AB" w:rsidP="007E05AB">
      <w:pPr>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4086225</wp:posOffset>
                </wp:positionH>
                <wp:positionV relativeFrom="paragraph">
                  <wp:posOffset>257175</wp:posOffset>
                </wp:positionV>
                <wp:extent cx="847725" cy="333375"/>
                <wp:effectExtent l="0" t="19050" r="47625" b="47625"/>
                <wp:wrapNone/>
                <wp:docPr id="4" name="Right Arrow 4"/>
                <wp:cNvGraphicFramePr/>
                <a:graphic xmlns:a="http://schemas.openxmlformats.org/drawingml/2006/main">
                  <a:graphicData uri="http://schemas.microsoft.com/office/word/2010/wordprocessingShape">
                    <wps:wsp>
                      <wps:cNvSpPr/>
                      <wps:spPr>
                        <a:xfrm>
                          <a:off x="0" y="0"/>
                          <a:ext cx="847725" cy="3333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90E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21.75pt;margin-top:20.25pt;width:66.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" adj="17353" fillcolor="red" strokecolor="#1f4d78 [1604]" strokeweight="1pt"/>
            </w:pict>
          </mc:Fallback>
        </mc:AlternateContent>
      </w:r>
      <w:r>
        <w:rPr>
          <w:rFonts w:ascii="Times New Roman" w:hAnsi="Times New Roman" w:cs="Times New Roman"/>
          <w:sz w:val="28"/>
          <w:szCs w:val="28"/>
        </w:rPr>
        <w:t xml:space="preserve">Step 2: </w:t>
      </w:r>
      <w:r>
        <w:rPr>
          <w:rFonts w:ascii="Times New Roman" w:hAnsi="Times New Roman" w:cs="Times New Roman"/>
          <w:sz w:val="24"/>
          <w:szCs w:val="24"/>
        </w:rPr>
        <w:t>Play the Sway presentation by clicking PLAY at the top right corner of the screen.</w:t>
      </w:r>
    </w:p>
    <w:p w:rsidR="007E05AB" w:rsidRDefault="007E05AB" w:rsidP="007E05AB">
      <w:pPr>
        <w:rPr>
          <w:rFonts w:ascii="Times New Roman" w:hAnsi="Times New Roman" w:cs="Times New Roman"/>
          <w:sz w:val="24"/>
          <w:szCs w:val="24"/>
        </w:rPr>
      </w:pPr>
      <w:r>
        <w:rPr>
          <w:noProof/>
        </w:rPr>
        <w:drawing>
          <wp:inline distT="0" distB="0" distL="0" distR="0" wp14:anchorId="5AFE4724" wp14:editId="230C51E7">
            <wp:extent cx="5943600" cy="1374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374775"/>
                    </a:xfrm>
                    <a:prstGeom prst="rect">
                      <a:avLst/>
                    </a:prstGeom>
                  </pic:spPr>
                </pic:pic>
              </a:graphicData>
            </a:graphic>
          </wp:inline>
        </w:drawing>
      </w:r>
    </w:p>
    <w:p w:rsidR="007E05AB" w:rsidRDefault="007E05AB" w:rsidP="007E05AB">
      <w:pPr>
        <w:rPr>
          <w:rFonts w:ascii="Times New Roman" w:hAnsi="Times New Roman" w:cs="Times New Roman"/>
          <w:sz w:val="24"/>
          <w:szCs w:val="24"/>
        </w:rPr>
      </w:pPr>
    </w:p>
    <w:p w:rsidR="007E05AB" w:rsidRDefault="007E05AB" w:rsidP="007E05AB">
      <w:pPr>
        <w:rPr>
          <w:rFonts w:ascii="Times New Roman" w:hAnsi="Times New Roman" w:cs="Times New Roman"/>
          <w:sz w:val="24"/>
          <w:szCs w:val="24"/>
        </w:rPr>
      </w:pPr>
      <w:r>
        <w:rPr>
          <w:rFonts w:ascii="Times New Roman" w:hAnsi="Times New Roman" w:cs="Times New Roman"/>
          <w:sz w:val="28"/>
          <w:szCs w:val="28"/>
        </w:rPr>
        <w:t xml:space="preserve">Step 3: </w:t>
      </w:r>
      <w:r>
        <w:rPr>
          <w:rFonts w:ascii="Times New Roman" w:hAnsi="Times New Roman" w:cs="Times New Roman"/>
          <w:sz w:val="24"/>
          <w:szCs w:val="24"/>
        </w:rPr>
        <w:t>Move through the Sway presentation using the icons in the bottom right corner of the screen.</w:t>
      </w:r>
    </w:p>
    <w:p w:rsidR="007E05AB" w:rsidRDefault="007E05AB" w:rsidP="007E05AB">
      <w:pPr>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4305300</wp:posOffset>
                </wp:positionH>
                <wp:positionV relativeFrom="paragraph">
                  <wp:posOffset>2489835</wp:posOffset>
                </wp:positionV>
                <wp:extent cx="857250" cy="314325"/>
                <wp:effectExtent l="0" t="19050" r="38100" b="47625"/>
                <wp:wrapNone/>
                <wp:docPr id="6" name="Right Arrow 6"/>
                <wp:cNvGraphicFramePr/>
                <a:graphic xmlns:a="http://schemas.openxmlformats.org/drawingml/2006/main">
                  <a:graphicData uri="http://schemas.microsoft.com/office/word/2010/wordprocessingShape">
                    <wps:wsp>
                      <wps:cNvSpPr/>
                      <wps:spPr>
                        <a:xfrm>
                          <a:off x="0" y="0"/>
                          <a:ext cx="857250" cy="3143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37D6AF" id="Right Arrow 6" o:spid="_x0000_s1026" type="#_x0000_t13" style="position:absolute;margin-left:339pt;margin-top:196.05pt;width:67.5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" adj="17640" fillcolor="red" strokecolor="#1f4d78 [1604]" strokeweight="1pt"/>
            </w:pict>
          </mc:Fallback>
        </mc:AlternateContent>
      </w:r>
      <w:r>
        <w:rPr>
          <w:noProof/>
        </w:rPr>
        <w:drawing>
          <wp:inline distT="0" distB="0" distL="0" distR="0" wp14:anchorId="77B8ACA4" wp14:editId="11AF355D">
            <wp:extent cx="5943600" cy="2845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45435"/>
                    </a:xfrm>
                    <a:prstGeom prst="rect">
                      <a:avLst/>
                    </a:prstGeom>
                  </pic:spPr>
                </pic:pic>
              </a:graphicData>
            </a:graphic>
          </wp:inline>
        </w:drawing>
      </w:r>
    </w:p>
    <w:p w:rsidR="007E05AB" w:rsidRDefault="007E05AB" w:rsidP="007E05AB">
      <w:pPr>
        <w:rPr>
          <w:rFonts w:ascii="Times New Roman" w:hAnsi="Times New Roman" w:cs="Times New Roman"/>
          <w:sz w:val="24"/>
          <w:szCs w:val="24"/>
        </w:rPr>
      </w:pPr>
      <w:r>
        <w:rPr>
          <w:rFonts w:ascii="Times New Roman" w:hAnsi="Times New Roman" w:cs="Times New Roman"/>
          <w:sz w:val="24"/>
          <w:szCs w:val="24"/>
        </w:rPr>
        <w:t xml:space="preserve">Navigate to a particular location in the presentation by clicking on the  </w:t>
      </w:r>
      <w:r>
        <w:rPr>
          <w:noProof/>
        </w:rPr>
        <w:drawing>
          <wp:inline distT="0" distB="0" distL="0" distR="0" wp14:anchorId="4775D5E7" wp14:editId="0EBFDAA8">
            <wp:extent cx="323850"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50" cy="323850"/>
                    </a:xfrm>
                    <a:prstGeom prst="rect">
                      <a:avLst/>
                    </a:prstGeom>
                  </pic:spPr>
                </pic:pic>
              </a:graphicData>
            </a:graphic>
          </wp:inline>
        </w:drawing>
      </w:r>
      <w:r>
        <w:rPr>
          <w:rFonts w:ascii="Times New Roman" w:hAnsi="Times New Roman" w:cs="Times New Roman"/>
          <w:sz w:val="24"/>
          <w:szCs w:val="24"/>
        </w:rPr>
        <w:t xml:space="preserve">  symbol. The click on the location you are interested in researching.</w:t>
      </w:r>
      <w:bookmarkStart w:id="0" w:name="_GoBack"/>
      <w:bookmarkEnd w:id="0"/>
    </w:p>
    <w:p w:rsidR="007E05AB" w:rsidRDefault="007E05AB" w:rsidP="007E05AB">
      <w:pPr>
        <w:rPr>
          <w:rFonts w:ascii="Times New Roman" w:hAnsi="Times New Roman" w:cs="Times New Roman"/>
          <w:sz w:val="24"/>
          <w:szCs w:val="24"/>
        </w:rPr>
      </w:pPr>
      <w:r>
        <w:rPr>
          <w:noProof/>
        </w:rPr>
        <w:drawing>
          <wp:inline distT="0" distB="0" distL="0" distR="0" wp14:anchorId="2C26A952" wp14:editId="264D6BA5">
            <wp:extent cx="5943600" cy="2845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45435"/>
                    </a:xfrm>
                    <a:prstGeom prst="rect">
                      <a:avLst/>
                    </a:prstGeom>
                  </pic:spPr>
                </pic:pic>
              </a:graphicData>
            </a:graphic>
          </wp:inline>
        </w:drawing>
      </w:r>
    </w:p>
    <w:p w:rsidR="007E05AB" w:rsidRDefault="007E05AB" w:rsidP="007E05AB">
      <w:pPr>
        <w:rPr>
          <w:rFonts w:ascii="Times New Roman" w:hAnsi="Times New Roman" w:cs="Times New Roman"/>
          <w:sz w:val="24"/>
          <w:szCs w:val="24"/>
        </w:rPr>
      </w:pPr>
    </w:p>
    <w:p w:rsidR="007E05AB" w:rsidRPr="007E05AB" w:rsidRDefault="007E05AB" w:rsidP="007E05AB">
      <w:pPr>
        <w:jc w:val="center"/>
        <w:rPr>
          <w:rFonts w:ascii="Times New Roman" w:hAnsi="Times New Roman" w:cs="Times New Roman"/>
          <w:sz w:val="28"/>
          <w:szCs w:val="28"/>
        </w:rPr>
      </w:pPr>
      <w:r>
        <w:rPr>
          <w:rFonts w:ascii="Times New Roman" w:hAnsi="Times New Roman" w:cs="Times New Roman"/>
          <w:sz w:val="28"/>
          <w:szCs w:val="28"/>
        </w:rPr>
        <w:t>It’s that easy!</w:t>
      </w:r>
    </w:p>
    <w:sectPr w:rsidR="007E05AB" w:rsidRPr="007E05AB" w:rsidSect="007E05AB">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CB1" w:rsidRDefault="00635CB1" w:rsidP="007E05AB">
      <w:pPr>
        <w:spacing w:after="0" w:line="240" w:lineRule="auto"/>
      </w:pPr>
      <w:r>
        <w:separator/>
      </w:r>
    </w:p>
  </w:endnote>
  <w:endnote w:type="continuationSeparator" w:id="0">
    <w:p w:rsidR="00635CB1" w:rsidRDefault="00635CB1" w:rsidP="007E0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CB1" w:rsidRDefault="00635CB1" w:rsidP="007E05AB">
      <w:pPr>
        <w:spacing w:after="0" w:line="240" w:lineRule="auto"/>
      </w:pPr>
      <w:r>
        <w:separator/>
      </w:r>
    </w:p>
  </w:footnote>
  <w:footnote w:type="continuationSeparator" w:id="0">
    <w:p w:rsidR="00635CB1" w:rsidRDefault="00635CB1" w:rsidP="007E0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AB" w:rsidRDefault="007E05AB">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 w:val="24"/>
                              <w:szCs w:val="24"/>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7E05AB" w:rsidRPr="007E05AB" w:rsidRDefault="007E05AB">
                              <w:pPr>
                                <w:spacing w:after="0" w:line="240" w:lineRule="auto"/>
                                <w:rPr>
                                  <w:rFonts w:ascii="Times New Roman" w:hAnsi="Times New Roman" w:cs="Times New Roman"/>
                                  <w:sz w:val="24"/>
                                  <w:szCs w:val="24"/>
                                </w:rPr>
                              </w:pPr>
                              <w:r w:rsidRPr="007E05AB">
                                <w:rPr>
                                  <w:rFonts w:ascii="Times New Roman" w:hAnsi="Times New Roman" w:cs="Times New Roman"/>
                                  <w:sz w:val="24"/>
                                  <w:szCs w:val="24"/>
                                </w:rPr>
                                <w:t>Instruction Guide A</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sz w:val="24"/>
                        <w:szCs w:val="24"/>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7E05AB" w:rsidRPr="007E05AB" w:rsidRDefault="007E05AB">
                        <w:pPr>
                          <w:spacing w:after="0" w:line="240" w:lineRule="auto"/>
                          <w:rPr>
                            <w:rFonts w:ascii="Times New Roman" w:hAnsi="Times New Roman" w:cs="Times New Roman"/>
                            <w:sz w:val="24"/>
                            <w:szCs w:val="24"/>
                          </w:rPr>
                        </w:pPr>
                        <w:r w:rsidRPr="007E05AB">
                          <w:rPr>
                            <w:rFonts w:ascii="Times New Roman" w:hAnsi="Times New Roman" w:cs="Times New Roman"/>
                            <w:sz w:val="24"/>
                            <w:szCs w:val="24"/>
                          </w:rPr>
                          <w:t>Instruction Guide A</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E05AB" w:rsidRDefault="007E05AB">
                          <w:pPr>
                            <w:spacing w:after="0" w:line="240" w:lineRule="auto"/>
                            <w:jc w:val="right"/>
                            <w:rPr>
                              <w:color w:val="FFFFFF" w:themeColor="background1"/>
                            </w:rPr>
                          </w:pPr>
                          <w:r>
                            <w:fldChar w:fldCharType="begin"/>
                          </w:r>
                          <w:r>
                            <w:instrText xml:space="preserve"> PAGE   \* MERGEFORMAT </w:instrText>
                          </w:r>
                          <w:r>
                            <w:fldChar w:fldCharType="separate"/>
                          </w:r>
                          <w:r w:rsidRPr="007E05A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7E05AB" w:rsidRDefault="007E05AB">
                    <w:pPr>
                      <w:spacing w:after="0" w:line="240" w:lineRule="auto"/>
                      <w:jc w:val="right"/>
                      <w:rPr>
                        <w:color w:val="FFFFFF" w:themeColor="background1"/>
                      </w:rPr>
                    </w:pPr>
                    <w:r>
                      <w:fldChar w:fldCharType="begin"/>
                    </w:r>
                    <w:r>
                      <w:instrText xml:space="preserve"> PAGE   \* MERGEFORMAT </w:instrText>
                    </w:r>
                    <w:r>
                      <w:fldChar w:fldCharType="separate"/>
                    </w:r>
                    <w:r w:rsidRPr="007E05A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DF2C02"/>
    <w:multiLevelType w:val="hybridMultilevel"/>
    <w:tmpl w:val="09682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5AB"/>
    <w:rsid w:val="00635CB1"/>
    <w:rsid w:val="007E05AB"/>
    <w:rsid w:val="00FA4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9EF2E6-BE21-4EDE-B5AE-C8F809551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5AB"/>
  </w:style>
  <w:style w:type="paragraph" w:styleId="Footer">
    <w:name w:val="footer"/>
    <w:basedOn w:val="Normal"/>
    <w:link w:val="FooterChar"/>
    <w:uiPriority w:val="99"/>
    <w:unhideWhenUsed/>
    <w:rsid w:val="007E0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5AB"/>
  </w:style>
  <w:style w:type="paragraph" w:styleId="ListParagraph">
    <w:name w:val="List Paragraph"/>
    <w:basedOn w:val="Normal"/>
    <w:uiPriority w:val="34"/>
    <w:qFormat/>
    <w:rsid w:val="007E05AB"/>
    <w:pPr>
      <w:ind w:left="720"/>
      <w:contextualSpacing/>
    </w:pPr>
  </w:style>
  <w:style w:type="character" w:styleId="Hyperlink">
    <w:name w:val="Hyperlink"/>
    <w:basedOn w:val="DefaultParagraphFont"/>
    <w:uiPriority w:val="99"/>
    <w:unhideWhenUsed/>
    <w:rsid w:val="007E05AB"/>
    <w:rPr>
      <w:color w:val="0563C1" w:themeColor="hyperlink"/>
      <w:u w:val="single"/>
    </w:rPr>
  </w:style>
  <w:style w:type="character" w:customStyle="1" w:styleId="visuallinktitle">
    <w:name w:val="visuallinktitle"/>
    <w:basedOn w:val="DefaultParagraphFont"/>
    <w:rsid w:val="007E05AB"/>
  </w:style>
  <w:style w:type="character" w:customStyle="1" w:styleId="visuallinkdescription">
    <w:name w:val="visuallinkdescription"/>
    <w:basedOn w:val="DefaultParagraphFont"/>
    <w:rsid w:val="007E0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244948">
      <w:bodyDiv w:val="1"/>
      <w:marLeft w:val="0"/>
      <w:marRight w:val="0"/>
      <w:marTop w:val="0"/>
      <w:marBottom w:val="0"/>
      <w:divBdr>
        <w:top w:val="none" w:sz="0" w:space="0" w:color="auto"/>
        <w:left w:val="none" w:sz="0" w:space="0" w:color="auto"/>
        <w:bottom w:val="none" w:sz="0" w:space="0" w:color="auto"/>
        <w:right w:val="none" w:sz="0" w:space="0" w:color="auto"/>
      </w:divBdr>
      <w:divsChild>
        <w:div w:id="1484735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ay.office.com/IHe6EGUiZIis6UsW?ref=emai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way.office.com/IHe6EGUiZIis6UsW"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way.office.com/IHe6EGUiZIis6UsW?ref=email"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sway.office.com/IHe6EGUiZIis6UsW?ref=emai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Guide A</dc:title>
  <dc:subject/>
  <dc:creator>Shannon Peck-Janssen</dc:creator>
  <cp:keywords/>
  <dc:description/>
  <cp:lastModifiedBy>Shannon Peck-Janssen</cp:lastModifiedBy>
  <cp:revision>1</cp:revision>
  <dcterms:created xsi:type="dcterms:W3CDTF">2019-07-05T14:00:00Z</dcterms:created>
  <dcterms:modified xsi:type="dcterms:W3CDTF">2019-07-05T14:28:00Z</dcterms:modified>
</cp:coreProperties>
</file>